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3A193D" w:rsidRPr="00AA5B3C" w14:paraId="12B1C982" w14:textId="77777777" w:rsidTr="00B70A2C">
        <w:tc>
          <w:tcPr>
            <w:tcW w:w="9576" w:type="dxa"/>
            <w:shd w:val="clear" w:color="auto" w:fill="F2F2F2"/>
          </w:tcPr>
          <w:p w14:paraId="12B1C981" w14:textId="1D4A07CB" w:rsidR="007A6A4C" w:rsidRPr="00F9709A" w:rsidRDefault="00A70B46" w:rsidP="00B70A2C">
            <w:pPr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s-ES_tradnl"/>
              </w:rPr>
              <w:t xml:space="preserve">Instrucciones: El consejo de administración/equipo directivo de cada empresa aprobará </w:t>
            </w:r>
            <w:r w:rsidR="00F9709A">
              <w:rPr>
                <w:rFonts w:ascii="Times New Roman" w:eastAsia="Times New Roman" w:hAnsi="Times New Roman"/>
                <w:sz w:val="24"/>
                <w:szCs w:val="24"/>
                <w:lang w:val="es-ES_tradnl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val="es-ES_tradnl"/>
              </w:rPr>
              <w:t xml:space="preserve">y documentará formalmente la creación de un Comité de Cumplimiento y ratificará los Estatutos. A continuación, se presenta un ejemplo de Estatutos del Comité de Cumplimiento apropiado. Una empresa puede designar a su consejo de administración/equipo directivo </w:t>
            </w:r>
            <w:r w:rsidR="00F9709A">
              <w:rPr>
                <w:rFonts w:ascii="Times New Roman" w:eastAsia="Times New Roman" w:hAnsi="Times New Roman"/>
                <w:sz w:val="24"/>
                <w:szCs w:val="24"/>
                <w:lang w:val="es-ES_tradnl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val="es-ES_tradnl"/>
              </w:rPr>
              <w:t xml:space="preserve">como su Comité de Cumplimiento. </w:t>
            </w:r>
          </w:p>
        </w:tc>
      </w:tr>
    </w:tbl>
    <w:p w14:paraId="12B1C983" w14:textId="77777777" w:rsidR="005D7E37" w:rsidRPr="00F9709A" w:rsidRDefault="00A70B46" w:rsidP="008558F2">
      <w:pPr>
        <w:jc w:val="center"/>
        <w:rPr>
          <w:rStyle w:val="A10"/>
          <w:rFonts w:ascii="Times New Roman" w:hAnsi="Times New Roman" w:cs="Times New Roman"/>
          <w:sz w:val="24"/>
          <w:szCs w:val="24"/>
          <w:lang w:val="es-ES"/>
        </w:rPr>
      </w:pPr>
      <w:r w:rsidRPr="00F9709A">
        <w:rPr>
          <w:rStyle w:val="A10"/>
          <w:rFonts w:ascii="Times New Roman" w:hAnsi="Times New Roman" w:cs="Times New Roman"/>
          <w:sz w:val="24"/>
          <w:szCs w:val="24"/>
          <w:lang w:val="es-ES"/>
        </w:rPr>
        <w:t>------------------------------</w:t>
      </w:r>
    </w:p>
    <w:p w14:paraId="12B1C984" w14:textId="6F8C978C" w:rsidR="005F56B3" w:rsidRPr="00F9709A" w:rsidRDefault="00A70B46" w:rsidP="00F9709A">
      <w:pPr>
        <w:spacing w:after="160"/>
        <w:rPr>
          <w:rFonts w:ascii="Times New Roman" w:hAnsi="Times New Roman"/>
          <w:sz w:val="24"/>
          <w:szCs w:val="24"/>
          <w:lang w:val="es-ES"/>
        </w:rPr>
      </w:pPr>
      <w:r>
        <w:rPr>
          <w:rStyle w:val="A10"/>
          <w:rFonts w:ascii="Times New Roman" w:eastAsia="Times New Roman" w:hAnsi="Times New Roman" w:cs="Times New Roman"/>
          <w:sz w:val="24"/>
          <w:szCs w:val="24"/>
          <w:lang w:val="es-ES_tradnl"/>
        </w:rPr>
        <w:t>&lt;</w:t>
      </w:r>
      <w:r>
        <w:rPr>
          <w:rStyle w:val="A10"/>
          <w:rFonts w:ascii="Times New Roman" w:eastAsia="Times New Roman" w:hAnsi="Times New Roman" w:cs="Times New Roman"/>
          <w:sz w:val="24"/>
          <w:szCs w:val="24"/>
          <w:highlight w:val="yellow"/>
          <w:lang w:val="es-ES_tradnl"/>
        </w:rPr>
        <w:t>Insertar nombre de la empresa</w:t>
      </w:r>
      <w:r>
        <w:rPr>
          <w:rStyle w:val="A10"/>
          <w:rFonts w:ascii="Times New Roman" w:eastAsia="Times New Roman" w:hAnsi="Times New Roman" w:cs="Times New Roman"/>
          <w:sz w:val="24"/>
          <w:szCs w:val="24"/>
          <w:lang w:val="es-ES_tradnl"/>
        </w:rPr>
        <w:t>&gt; ha establecido un Comité de Cumplimiento que actúa como equipo de liderazgo con la responsabilidad de diseñar e implementar un programa de Cumplimiento efectivo en la empresa.</w:t>
      </w:r>
    </w:p>
    <w:p w14:paraId="12B1C985" w14:textId="74C9BBE4" w:rsidR="005D7E37" w:rsidRPr="00F9709A" w:rsidRDefault="00A70B46" w:rsidP="00F9709A">
      <w:pPr>
        <w:spacing w:after="160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El Comité de Cumplimiento participará activamente en el establecimiento de la política de la empresa y garantizará la alineación de las estrategias y prácticas del plan comercial con el programa de Cumplimiento, y garantizará y documentará de forma proactiva la resolución </w:t>
      </w:r>
      <w:r w:rsidR="00F9709A">
        <w:rPr>
          <w:rFonts w:ascii="Times New Roman" w:eastAsia="Times New Roman" w:hAnsi="Times New Roman"/>
          <w:sz w:val="24"/>
          <w:szCs w:val="24"/>
          <w:lang w:val="es-ES_tradnl"/>
        </w:rPr>
        <w:br/>
      </w: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de problemas. </w:t>
      </w:r>
    </w:p>
    <w:p w14:paraId="12B1C986" w14:textId="3E664604" w:rsidR="00416A36" w:rsidRPr="00F9709A" w:rsidRDefault="00A70B46" w:rsidP="00F9709A">
      <w:pPr>
        <w:spacing w:after="160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Una de las funciones principales del Comité de Cumplimiento es asegurarse de que existan sistemas adecuados de información y notificación, y de que esos sistemas de información </w:t>
      </w:r>
      <w:r w:rsidR="00F9709A">
        <w:rPr>
          <w:rFonts w:ascii="Times New Roman" w:eastAsia="Times New Roman" w:hAnsi="Times New Roman"/>
          <w:sz w:val="24"/>
          <w:szCs w:val="24"/>
          <w:lang w:val="es-ES_tradnl"/>
        </w:rPr>
        <w:br/>
      </w:r>
      <w:r>
        <w:rPr>
          <w:rFonts w:ascii="Times New Roman" w:eastAsia="Times New Roman" w:hAnsi="Times New Roman"/>
          <w:sz w:val="24"/>
          <w:szCs w:val="24"/>
          <w:lang w:val="es-ES_tradnl"/>
        </w:rPr>
        <w:t>y notificación sean adecuados para garantizar que el Comité de Cumplimiento dispone de la información adecuada en relación con el cumplimiento de las políticas aplicables de la empresa, y de que esa información llegue a la atención del Comité de forma rutinaria y oportuna.</w:t>
      </w:r>
    </w:p>
    <w:p w14:paraId="12B1C987" w14:textId="7498C9E9" w:rsidR="005D7E37" w:rsidRPr="00F9709A" w:rsidRDefault="00A70B46" w:rsidP="00F9709A">
      <w:pPr>
        <w:spacing w:after="160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Además del Director de Cumplimiento de la empresa (que presidirá el comité), los miembros </w:t>
      </w:r>
      <w:r w:rsidR="00F9709A">
        <w:rPr>
          <w:rFonts w:ascii="Times New Roman" w:eastAsia="Times New Roman" w:hAnsi="Times New Roman"/>
          <w:sz w:val="24"/>
          <w:szCs w:val="24"/>
          <w:lang w:val="es-ES_tradnl"/>
        </w:rPr>
        <w:br/>
      </w:r>
      <w:r>
        <w:rPr>
          <w:rFonts w:ascii="Times New Roman" w:eastAsia="Times New Roman" w:hAnsi="Times New Roman"/>
          <w:sz w:val="24"/>
          <w:szCs w:val="24"/>
          <w:lang w:val="es-ES_tradnl"/>
        </w:rPr>
        <w:t>del Comité de Cumplimiento serán los siguientes:</w:t>
      </w:r>
    </w:p>
    <w:p w14:paraId="12B1C988" w14:textId="5B3931D3" w:rsidR="005D7E37" w:rsidRDefault="00A70B46" w:rsidP="00F9709A">
      <w:pPr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Presidente o director </w:t>
      </w:r>
      <w:r w:rsidR="00AA5B3C">
        <w:rPr>
          <w:rFonts w:ascii="Times New Roman" w:eastAsia="Times New Roman" w:hAnsi="Times New Roman"/>
          <w:sz w:val="24"/>
          <w:szCs w:val="24"/>
          <w:lang w:val="es-ES_tradnl"/>
        </w:rPr>
        <w:t>general (obligatorio)</w:t>
      </w:r>
      <w:bookmarkStart w:id="0" w:name="_GoBack"/>
      <w:bookmarkEnd w:id="0"/>
    </w:p>
    <w:p w14:paraId="12B1C989" w14:textId="2323B7E0" w:rsidR="005D7E37" w:rsidRPr="00F9709A" w:rsidRDefault="00A70B46" w:rsidP="00F9709A">
      <w:pPr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Director financiero o dir</w:t>
      </w:r>
      <w:r w:rsidR="00AA5B3C">
        <w:rPr>
          <w:rFonts w:ascii="Times New Roman" w:eastAsia="Times New Roman" w:hAnsi="Times New Roman"/>
          <w:sz w:val="24"/>
          <w:szCs w:val="24"/>
          <w:lang w:val="es-ES_tradnl"/>
        </w:rPr>
        <w:t>ector de finanzas (obligatorio)</w:t>
      </w:r>
    </w:p>
    <w:p w14:paraId="12B1C98A" w14:textId="4BABC589" w:rsidR="005D7E37" w:rsidRDefault="00A70B46" w:rsidP="00F9709A">
      <w:pPr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Representante del depa</w:t>
      </w:r>
      <w:r w:rsidR="00AA5B3C">
        <w:rPr>
          <w:rFonts w:ascii="Times New Roman" w:eastAsia="Times New Roman" w:hAnsi="Times New Roman"/>
          <w:sz w:val="24"/>
          <w:szCs w:val="24"/>
          <w:lang w:val="es-ES_tradnl"/>
        </w:rPr>
        <w:t>rtamento jurídico (obligatorio)</w:t>
      </w:r>
    </w:p>
    <w:p w14:paraId="12B1C98B" w14:textId="5D100EB6" w:rsidR="00CF126E" w:rsidRDefault="00A70B46" w:rsidP="00F9709A">
      <w:pPr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Represent</w:t>
      </w:r>
      <w:r w:rsidR="00AA5B3C">
        <w:rPr>
          <w:rFonts w:ascii="Times New Roman" w:eastAsia="Times New Roman" w:hAnsi="Times New Roman"/>
          <w:sz w:val="24"/>
          <w:szCs w:val="24"/>
          <w:lang w:val="es-ES_tradnl"/>
        </w:rPr>
        <w:t>ante de privacidad (si procede)</w:t>
      </w:r>
    </w:p>
    <w:p w14:paraId="12B1C98D" w14:textId="50EEBC36" w:rsidR="005D7E37" w:rsidRDefault="00A70B46" w:rsidP="00F9709A">
      <w:pPr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Jefes de áreas funcionales (si procede):</w:t>
      </w:r>
    </w:p>
    <w:p w14:paraId="12B1C98E" w14:textId="2145FB85" w:rsidR="005D7E37" w:rsidRDefault="00AA5B3C" w:rsidP="00F9709A">
      <w:pPr>
        <w:numPr>
          <w:ilvl w:val="1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Ventas y mercadeo</w:t>
      </w:r>
    </w:p>
    <w:p w14:paraId="12B1C98F" w14:textId="43A79B7C" w:rsidR="005D7E37" w:rsidRPr="00F9709A" w:rsidRDefault="00A70B46" w:rsidP="00F9709A">
      <w:pPr>
        <w:numPr>
          <w:ilvl w:val="1"/>
          <w:numId w:val="4"/>
        </w:numPr>
        <w:spacing w:after="160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Investigación y de</w:t>
      </w:r>
      <w:r w:rsidR="00AA5B3C">
        <w:rPr>
          <w:rFonts w:ascii="Times New Roman" w:eastAsia="Times New Roman" w:hAnsi="Times New Roman"/>
          <w:sz w:val="24"/>
          <w:szCs w:val="24"/>
          <w:lang w:val="es-ES_tradnl"/>
        </w:rPr>
        <w:t>sarrollo y/o asuntos médicos</w:t>
      </w:r>
    </w:p>
    <w:p w14:paraId="12B1C990" w14:textId="293BD741" w:rsidR="005D7E37" w:rsidRDefault="00AA5B3C" w:rsidP="00F9709A">
      <w:pPr>
        <w:numPr>
          <w:ilvl w:val="1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Asuntos normativos</w:t>
      </w:r>
    </w:p>
    <w:p w14:paraId="12B1C991" w14:textId="14842CC0" w:rsidR="005D7E37" w:rsidRDefault="00AA5B3C" w:rsidP="00F9709A">
      <w:pPr>
        <w:numPr>
          <w:ilvl w:val="1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Recursos Humanos</w:t>
      </w:r>
    </w:p>
    <w:p w14:paraId="12B1C992" w14:textId="6F5F106D" w:rsidR="005D7E37" w:rsidRPr="00AA5B3C" w:rsidRDefault="00A70B46" w:rsidP="004A115A">
      <w:p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lastRenderedPageBreak/>
        <w:t>La función del Comité de Cumplimiento es apoyar el programa de cumplimiento de la empresa.  Sus responsabilidades incluyen:</w:t>
      </w:r>
    </w:p>
    <w:p w14:paraId="12B1C993" w14:textId="67BAF4AD" w:rsidR="004A115A" w:rsidRPr="00F9709A" w:rsidRDefault="00A70B46" w:rsidP="004A115A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Revisar, aprobar y dirigir la aplicación de las políticas, procedimientos y documentos </w:t>
      </w:r>
      <w:r w:rsidR="00F9709A">
        <w:rPr>
          <w:rFonts w:ascii="Times New Roman" w:eastAsia="Times New Roman" w:hAnsi="Times New Roman"/>
          <w:sz w:val="24"/>
          <w:szCs w:val="24"/>
          <w:lang w:val="es-ES_tradnl"/>
        </w:rPr>
        <w:br/>
      </w:r>
      <w:r>
        <w:rPr>
          <w:rFonts w:ascii="Times New Roman" w:eastAsia="Times New Roman" w:hAnsi="Times New Roman"/>
          <w:sz w:val="24"/>
          <w:szCs w:val="24"/>
          <w:lang w:val="es-ES_tradnl"/>
        </w:rPr>
        <w:t>de orientación en materia de Cumplimiento.</w:t>
      </w:r>
    </w:p>
    <w:p w14:paraId="12B1C994" w14:textId="77777777" w:rsidR="00B70A2C" w:rsidRPr="00F9709A" w:rsidRDefault="00A70B46" w:rsidP="004A115A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Evaluar la adecuación y los recursos relacionados con:</w:t>
      </w:r>
    </w:p>
    <w:p w14:paraId="12B1C996" w14:textId="77777777" w:rsidR="00B70A2C" w:rsidRPr="00F9709A" w:rsidRDefault="00A70B46" w:rsidP="004A115A">
      <w:pPr>
        <w:numPr>
          <w:ilvl w:val="1"/>
          <w:numId w:val="3"/>
        </w:num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Capacitar y orientar a los empleados.</w:t>
      </w:r>
    </w:p>
    <w:p w14:paraId="12B1C997" w14:textId="7C2DA3E3" w:rsidR="00B70A2C" w:rsidRPr="00F9709A" w:rsidRDefault="00A70B46" w:rsidP="004A115A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La revisión de las alertas entre departamentos que afectan el Cumplimiento.</w:t>
      </w:r>
    </w:p>
    <w:p w14:paraId="12B1C998" w14:textId="77777777" w:rsidR="00B70A2C" w:rsidRPr="00F9709A" w:rsidRDefault="00A70B46" w:rsidP="004A115A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Evaluar los resultados de las evaluaciones e investigaciones y considerar el seguimiento adecuado, incluidas las medidas correctivas.</w:t>
      </w:r>
    </w:p>
    <w:p w14:paraId="50B65CC0" w14:textId="0A497063" w:rsidR="001D7686" w:rsidRPr="00F9709A" w:rsidRDefault="00A70B46" w:rsidP="00A024B2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Garantizar que los planes de acción de la gerencia (Management Actions Plans, MAP) están en marcha y en camino, cuando sea necesario, para remediar las diferencias </w:t>
      </w:r>
      <w:r w:rsidR="00F9709A">
        <w:rPr>
          <w:rFonts w:ascii="Times New Roman" w:eastAsia="Times New Roman" w:hAnsi="Times New Roman"/>
          <w:sz w:val="24"/>
          <w:szCs w:val="24"/>
          <w:lang w:val="es-ES_tradnl"/>
        </w:rPr>
        <w:br/>
      </w:r>
      <w:r>
        <w:rPr>
          <w:rFonts w:ascii="Times New Roman" w:eastAsia="Times New Roman" w:hAnsi="Times New Roman"/>
          <w:sz w:val="24"/>
          <w:szCs w:val="24"/>
          <w:lang w:val="es-ES_tradnl"/>
        </w:rPr>
        <w:t>o para la adecuada implementación de las medidas correctivas.</w:t>
      </w:r>
    </w:p>
    <w:p w14:paraId="12B1C99B" w14:textId="2A7C42AC" w:rsidR="00A024B2" w:rsidRPr="00F9709A" w:rsidRDefault="00A70B46" w:rsidP="00A024B2">
      <w:pPr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El Comité de Cumplimiento se reunirá al menos trimestralmente y las reuniones estarán debidamente documentadas.</w:t>
      </w:r>
    </w:p>
    <w:sectPr w:rsidR="00A024B2" w:rsidRPr="00F9709A" w:rsidSect="00F9709A">
      <w:headerReference w:type="default" r:id="rId10"/>
      <w:pgSz w:w="12240" w:h="15840"/>
      <w:pgMar w:top="1440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222A24" w14:textId="77777777" w:rsidR="00A70B46" w:rsidRDefault="00A70B46">
      <w:pPr>
        <w:spacing w:after="0" w:line="240" w:lineRule="auto"/>
      </w:pPr>
      <w:r>
        <w:separator/>
      </w:r>
    </w:p>
  </w:endnote>
  <w:endnote w:type="continuationSeparator" w:id="0">
    <w:p w14:paraId="4649CF82" w14:textId="77777777" w:rsidR="00A70B46" w:rsidRDefault="00A70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NMLM K+ Melior">
    <w:altName w:val="Melio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erthold Akzidenz Grotesk BE">
    <w:altName w:val="Berthold Akzidenz Grotesk B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899413" w14:textId="77777777" w:rsidR="00A70B46" w:rsidRDefault="00A70B46">
      <w:pPr>
        <w:spacing w:after="0" w:line="240" w:lineRule="auto"/>
      </w:pPr>
      <w:r>
        <w:separator/>
      </w:r>
    </w:p>
  </w:footnote>
  <w:footnote w:type="continuationSeparator" w:id="0">
    <w:p w14:paraId="28670AA3" w14:textId="77777777" w:rsidR="00A70B46" w:rsidRDefault="00A70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B1C9A0" w14:textId="41B796AF" w:rsidR="00BA5A7E" w:rsidRPr="00F9709A" w:rsidRDefault="00A70B46">
    <w:pPr>
      <w:pStyle w:val="Header"/>
      <w:pBdr>
        <w:bottom w:val="thickThinSmallGap" w:sz="24" w:space="1" w:color="622423"/>
      </w:pBdr>
      <w:jc w:val="center"/>
      <w:rPr>
        <w:rFonts w:ascii="Cambria" w:eastAsia="Times New Roman" w:hAnsi="Cambria"/>
        <w:sz w:val="32"/>
        <w:szCs w:val="32"/>
        <w:lang w:val="es-ES"/>
      </w:rPr>
    </w:pPr>
    <w:r>
      <w:rPr>
        <w:rFonts w:ascii="Cambria" w:eastAsia="Cambria" w:hAnsi="Cambria"/>
        <w:i/>
        <w:iCs/>
        <w:sz w:val="32"/>
        <w:szCs w:val="32"/>
        <w:lang w:val="es-ES_tradnl"/>
      </w:rPr>
      <w:t>MODELO</w:t>
    </w:r>
    <w:r>
      <w:rPr>
        <w:rFonts w:ascii="Cambria" w:eastAsia="Cambria" w:hAnsi="Cambria"/>
        <w:sz w:val="32"/>
        <w:szCs w:val="32"/>
        <w:lang w:val="es-ES_tradnl"/>
      </w:rPr>
      <w:t xml:space="preserve"> DE ESTATUTOS DEL COMITÉ DE CUMPLIMIENTO</w:t>
    </w:r>
  </w:p>
  <w:p w14:paraId="506573CD" w14:textId="12B4DC5B" w:rsidR="006B01E5" w:rsidRPr="00F9709A" w:rsidRDefault="00A70B46" w:rsidP="006B01E5">
    <w:pPr>
      <w:tabs>
        <w:tab w:val="left" w:pos="1134"/>
        <w:tab w:val="left" w:pos="8222"/>
      </w:tabs>
      <w:spacing w:after="20"/>
      <w:ind w:left="28" w:right="45" w:firstLine="125"/>
      <w:jc w:val="center"/>
      <w:rPr>
        <w:i/>
        <w:iCs/>
        <w:color w:val="FF0000"/>
        <w:lang w:val="es-ES"/>
      </w:rPr>
    </w:pPr>
    <w:r>
      <w:rPr>
        <w:i/>
        <w:iCs/>
        <w:color w:val="FF0000"/>
        <w:lang w:val="es-ES_tradnl"/>
      </w:rPr>
      <w:t>Este es un documento PLANTILLA y debe adaptarse a las necesidades específicas del usuario</w:t>
    </w:r>
  </w:p>
  <w:p w14:paraId="3B1C86A0" w14:textId="77777777" w:rsidR="006B01E5" w:rsidRPr="00F9709A" w:rsidRDefault="006B01E5">
    <w:pPr>
      <w:pStyle w:val="Header"/>
      <w:pBdr>
        <w:bottom w:val="thickThinSmallGap" w:sz="24" w:space="1" w:color="622423"/>
      </w:pBdr>
      <w:jc w:val="center"/>
      <w:rPr>
        <w:rFonts w:ascii="Cambria" w:eastAsia="Times New Roman" w:hAnsi="Cambria"/>
        <w:sz w:val="32"/>
        <w:szCs w:val="32"/>
        <w:lang w:val="es-ES"/>
      </w:rPr>
    </w:pPr>
  </w:p>
  <w:p w14:paraId="12B1C9A1" w14:textId="77777777" w:rsidR="00BA5A7E" w:rsidRPr="00F9709A" w:rsidRDefault="00BA5A7E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625935"/>
    <w:multiLevelType w:val="hybridMultilevel"/>
    <w:tmpl w:val="3BFE0330"/>
    <w:lvl w:ilvl="0" w:tplc="36B65F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A811FE">
      <w:start w:val="46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8AE57E">
      <w:start w:val="46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0C72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86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06BD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106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9E5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CC92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4CD6AB0"/>
    <w:multiLevelType w:val="hybridMultilevel"/>
    <w:tmpl w:val="5A68C934"/>
    <w:lvl w:ilvl="0" w:tplc="48123D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3E9B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CE442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241B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DCAB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12C9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12DA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277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D802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F81D9A"/>
    <w:multiLevelType w:val="hybridMultilevel"/>
    <w:tmpl w:val="A2A8AFEA"/>
    <w:lvl w:ilvl="0" w:tplc="C456AA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4E8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0D1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2CEF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2AA6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4A56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6A5E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A47B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26F5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FA15C5"/>
    <w:multiLevelType w:val="hybridMultilevel"/>
    <w:tmpl w:val="C0A2B2D6"/>
    <w:lvl w:ilvl="0" w:tplc="2DB0FD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7E03E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B0C27E">
      <w:start w:val="150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184E5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AE5F2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5202C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6EE86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8C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08A62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5F190FD2"/>
    <w:multiLevelType w:val="hybridMultilevel"/>
    <w:tmpl w:val="228A6A04"/>
    <w:lvl w:ilvl="0" w:tplc="17C65C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AA7A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66294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70AC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3020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2C4F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2C03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403A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52AB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5721DE"/>
    <w:multiLevelType w:val="hybridMultilevel"/>
    <w:tmpl w:val="D3F054A2"/>
    <w:lvl w:ilvl="0" w:tplc="0A50E7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F4589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C0E7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EC99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C2F4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3C95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D6CA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34C2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703F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E09"/>
    <w:rsid w:val="00013D00"/>
    <w:rsid w:val="000E084C"/>
    <w:rsid w:val="000E6248"/>
    <w:rsid w:val="001143D1"/>
    <w:rsid w:val="0014284E"/>
    <w:rsid w:val="00147466"/>
    <w:rsid w:val="001C40BE"/>
    <w:rsid w:val="001C7E09"/>
    <w:rsid w:val="001D7686"/>
    <w:rsid w:val="002745C4"/>
    <w:rsid w:val="00292898"/>
    <w:rsid w:val="002B0B3A"/>
    <w:rsid w:val="003178D7"/>
    <w:rsid w:val="0039268B"/>
    <w:rsid w:val="003A193D"/>
    <w:rsid w:val="00416A36"/>
    <w:rsid w:val="004756D2"/>
    <w:rsid w:val="0047621D"/>
    <w:rsid w:val="004A115A"/>
    <w:rsid w:val="004E31C4"/>
    <w:rsid w:val="004E697D"/>
    <w:rsid w:val="005147A1"/>
    <w:rsid w:val="0056005D"/>
    <w:rsid w:val="00571E09"/>
    <w:rsid w:val="005D7E37"/>
    <w:rsid w:val="005F56B3"/>
    <w:rsid w:val="006063AC"/>
    <w:rsid w:val="00630B19"/>
    <w:rsid w:val="00663FA4"/>
    <w:rsid w:val="00680F4E"/>
    <w:rsid w:val="006B01E5"/>
    <w:rsid w:val="006F0605"/>
    <w:rsid w:val="00771C6B"/>
    <w:rsid w:val="00795F78"/>
    <w:rsid w:val="007A6A4C"/>
    <w:rsid w:val="007B3C07"/>
    <w:rsid w:val="007C4DE3"/>
    <w:rsid w:val="007D660A"/>
    <w:rsid w:val="00814401"/>
    <w:rsid w:val="008558F2"/>
    <w:rsid w:val="00913D66"/>
    <w:rsid w:val="009422A7"/>
    <w:rsid w:val="009838F5"/>
    <w:rsid w:val="009C567F"/>
    <w:rsid w:val="00A024B2"/>
    <w:rsid w:val="00A14713"/>
    <w:rsid w:val="00A70B46"/>
    <w:rsid w:val="00AA5B3C"/>
    <w:rsid w:val="00B033F3"/>
    <w:rsid w:val="00B70A2C"/>
    <w:rsid w:val="00BA5A7E"/>
    <w:rsid w:val="00C12210"/>
    <w:rsid w:val="00C63C96"/>
    <w:rsid w:val="00C835E5"/>
    <w:rsid w:val="00CA3D5B"/>
    <w:rsid w:val="00CB1FDC"/>
    <w:rsid w:val="00CF126E"/>
    <w:rsid w:val="00D01A03"/>
    <w:rsid w:val="00D51F9F"/>
    <w:rsid w:val="00D71CF6"/>
    <w:rsid w:val="00D91FA7"/>
    <w:rsid w:val="00DF1AD3"/>
    <w:rsid w:val="00E57D9D"/>
    <w:rsid w:val="00F04A7E"/>
    <w:rsid w:val="00F21567"/>
    <w:rsid w:val="00F339B3"/>
    <w:rsid w:val="00F956E9"/>
    <w:rsid w:val="00F9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1C981"/>
  <w15:docId w15:val="{D1B3E270-F4E0-43D6-B9FA-D7B3BAB8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7A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M5">
    <w:name w:val="CM5"/>
    <w:basedOn w:val="Normal"/>
    <w:next w:val="Normal"/>
    <w:uiPriority w:val="99"/>
    <w:rsid w:val="001C7E09"/>
    <w:pPr>
      <w:autoSpaceDE w:val="0"/>
      <w:autoSpaceDN w:val="0"/>
      <w:adjustRightInd w:val="0"/>
      <w:spacing w:after="0" w:line="200" w:lineRule="atLeast"/>
    </w:pPr>
    <w:rPr>
      <w:rFonts w:ascii="CNMLM K+ Melior" w:hAnsi="CNMLM K+ Melior"/>
      <w:sz w:val="24"/>
      <w:szCs w:val="24"/>
    </w:rPr>
  </w:style>
  <w:style w:type="paragraph" w:customStyle="1" w:styleId="Pa13">
    <w:name w:val="Pa13"/>
    <w:basedOn w:val="Normal"/>
    <w:next w:val="Normal"/>
    <w:uiPriority w:val="99"/>
    <w:rsid w:val="001C7E09"/>
    <w:pPr>
      <w:autoSpaceDE w:val="0"/>
      <w:autoSpaceDN w:val="0"/>
      <w:adjustRightInd w:val="0"/>
      <w:spacing w:after="0" w:line="201" w:lineRule="atLeast"/>
    </w:pPr>
    <w:rPr>
      <w:rFonts w:ascii="Berthold Akzidenz Grotesk BE" w:hAnsi="Berthold Akzidenz Grotesk BE"/>
      <w:sz w:val="24"/>
      <w:szCs w:val="24"/>
    </w:rPr>
  </w:style>
  <w:style w:type="character" w:customStyle="1" w:styleId="A10">
    <w:name w:val="A10"/>
    <w:uiPriority w:val="99"/>
    <w:rsid w:val="005F56B3"/>
    <w:rPr>
      <w:rFonts w:cs="Berthold Akzidenz Grotesk BE"/>
      <w:color w:val="000000"/>
      <w:sz w:val="26"/>
      <w:szCs w:val="26"/>
    </w:rPr>
  </w:style>
  <w:style w:type="table" w:styleId="TableGrid">
    <w:name w:val="Table Grid"/>
    <w:basedOn w:val="TableNormal"/>
    <w:uiPriority w:val="59"/>
    <w:rsid w:val="007A6A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24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24B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024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24B2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4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4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978D92E5516F4A9EEA4AF54677723F" ma:contentTypeVersion="4" ma:contentTypeDescription="Create a new document." ma:contentTypeScope="" ma:versionID="a258a6fa06eaa20717d3a1c86b15c8f3">
  <xsd:schema xmlns:xsd="http://www.w3.org/2001/XMLSchema" xmlns:xs="http://www.w3.org/2001/XMLSchema" xmlns:p="http://schemas.microsoft.com/office/2006/metadata/properties" xmlns:ns2="442f8cc0-c0af-494a-877e-d1b85a01d154" targetNamespace="http://schemas.microsoft.com/office/2006/metadata/properties" ma:root="true" ma:fieldsID="8d7249ebd612566e68f461d5ef411657" ns2:_="">
    <xsd:import namespace="442f8cc0-c0af-494a-877e-d1b85a01d1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2f8cc0-c0af-494a-877e-d1b85a01d1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FF9EA2-7DC9-4995-A0E1-B64363B87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2f8cc0-c0af-494a-877e-d1b85a01d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EAFFB5-EF47-42E9-8B2C-98F25836BBA9}">
  <ds:schemaRefs>
    <ds:schemaRef ds:uri="http://schemas.openxmlformats.org/package/2006/metadata/core-properties"/>
    <ds:schemaRef ds:uri="http://purl.org/dc/dcmitype/"/>
    <ds:schemaRef ds:uri="442f8cc0-c0af-494a-877e-d1b85a01d154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E6DCF9DA-F9B6-430C-80D4-85C0C60F92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HCC COMMITTEE CHARTER</vt:lpstr>
    </vt:vector>
  </TitlesOfParts>
  <Company>Johnson &amp; Johnson</Company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HCC COMMITTEE CHARTER</dc:title>
  <dc:creator>czalesky</dc:creator>
  <cp:lastModifiedBy>Darko Milić</cp:lastModifiedBy>
  <cp:revision>6</cp:revision>
  <cp:lastPrinted>2021-08-27T09:47:00Z</cp:lastPrinted>
  <dcterms:created xsi:type="dcterms:W3CDTF">2021-01-25T08:22:00Z</dcterms:created>
  <dcterms:modified xsi:type="dcterms:W3CDTF">2021-08-27T09:47:00Z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0x010100D3978D92E5516F4A9EEA4AF54677723F</vt:lpwstr>
  </property>
</Properties>
</file>